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lineRule="auto" w:line="276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false"/>
          <w:color w:val="000000"/>
          <w:sz w:val="28"/>
        </w:rPr>
        <w:t>Приложение №</w:t>
      </w:r>
      <w:r>
        <w:rPr>
          <w:rFonts w:ascii="Times New Roman" w:hAnsi="Times New Roman"/>
          <w:b w:val="false"/>
          <w:color w:val="000000"/>
          <w:sz w:val="28"/>
          <w:lang w:val="en-US"/>
        </w:rPr>
        <w:t>3</w:t>
      </w:r>
      <w:r>
        <w:rPr>
          <w:rFonts w:ascii="Times New Roman" w:hAnsi="Times New Roman"/>
          <w:b w:val="false"/>
          <w:color w:val="000000"/>
          <w:sz w:val="28"/>
        </w:rPr>
        <w:t xml:space="preserve"> к приказу</w:t>
      </w:r>
    </w:p>
    <w:p>
      <w:pPr>
        <w:pStyle w:val="Normal"/>
        <w:spacing w:lineRule="auto" w:line="276"/>
        <w:ind w:hanging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 противодействии коррупции»</w:t>
      </w:r>
    </w:p>
    <w:p>
      <w:pPr>
        <w:pStyle w:val="1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spacing w:lineRule="auto" w:line="240" w:before="0" w:after="0"/>
        <w:rPr/>
      </w:pPr>
      <w:r>
        <w:rPr>
          <w:rFonts w:eastAsia="Droid Sans Fallback" w:cs="Droid Sans Devanagari" w:ascii="Times New Roman" w:hAnsi="Times New Roman"/>
          <w:bCs w:val="false"/>
          <w:color w:val="000000"/>
          <w:sz w:val="28"/>
          <w:szCs w:val="20"/>
          <w:lang w:eastAsia="zh-CN" w:bidi="hi-IN"/>
        </w:rPr>
        <w:t>Положение об оценке коррупционных рисков Территориального фонда обязательного медицинского страхования Республики Саха (Якутия)</w:t>
      </w:r>
    </w:p>
    <w:p>
      <w:pPr>
        <w:pStyle w:val="Normal"/>
        <w:spacing w:lineRule="auto" w:line="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1"/>
        <w:spacing w:lineRule="auto" w:line="276"/>
        <w:rPr>
          <w:color w:val="000000"/>
        </w:rPr>
      </w:pPr>
      <w:bookmarkStart w:id="0" w:name="sub_100"/>
      <w:r>
        <w:rPr>
          <w:rFonts w:cs="Times New Roman" w:ascii="Times New Roman" w:hAnsi="Times New Roman"/>
          <w:color w:val="000000"/>
          <w:sz w:val="28"/>
          <w:szCs w:val="28"/>
        </w:rPr>
        <w:t>1. Общие положения</w:t>
      </w:r>
      <w:bookmarkEnd w:id="0"/>
    </w:p>
    <w:p>
      <w:pPr>
        <w:pStyle w:val="Normal"/>
        <w:spacing w:lineRule="auto" w:line="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color w:val="000000"/>
        </w:rPr>
      </w:pPr>
      <w:bookmarkStart w:id="1" w:name="sub_2011"/>
      <w:bookmarkEnd w:id="1"/>
      <w:r>
        <w:rPr>
          <w:rFonts w:cs="Times New Roman" w:ascii="Times New Roman" w:hAnsi="Times New Roman"/>
          <w:color w:val="000000"/>
          <w:sz w:val="28"/>
          <w:szCs w:val="28"/>
        </w:rPr>
        <w:t>1.1. Оценка коррупционных рисков является важным элементом антикоррупционной политики Территориального фонда обязательного медицинского страхования Республики Саха (Якутия) (далее - ТФОМС РС(Я)), позволяющим обеспечить соответствие реализуемых антикоррупционных мероприятий специфике деятельности ТФОМС РС(Я) и рационально использовать ресурсы, направляемые на проведение работы по профилактике ко</w:t>
      </w:r>
      <w:bookmarkStart w:id="2" w:name="_GoBack"/>
      <w:bookmarkEnd w:id="2"/>
      <w:r>
        <w:rPr>
          <w:rFonts w:cs="Times New Roman" w:ascii="Times New Roman" w:hAnsi="Times New Roman"/>
          <w:color w:val="000000"/>
          <w:sz w:val="28"/>
          <w:szCs w:val="28"/>
        </w:rPr>
        <w:t>ррупции в ТФОМС РС(Я).</w:t>
      </w:r>
    </w:p>
    <w:p>
      <w:pPr>
        <w:pStyle w:val="Normal"/>
        <w:spacing w:lineRule="auto" w:line="276"/>
        <w:rPr>
          <w:color w:val="000000"/>
        </w:rPr>
      </w:pPr>
      <w:bookmarkStart w:id="3" w:name="sub_2012"/>
      <w:bookmarkStart w:id="4" w:name="sub_20111"/>
      <w:bookmarkEnd w:id="4"/>
      <w:r>
        <w:rPr>
          <w:rFonts w:cs="Times New Roman" w:ascii="Times New Roman" w:hAnsi="Times New Roman"/>
          <w:color w:val="000000"/>
          <w:sz w:val="28"/>
          <w:szCs w:val="28"/>
        </w:rPr>
        <w:t>1.2. Целью оценки коррупционных рисков является определение конкретных функций (процессов), видов деятельности ТФОМС РС(Я), при реализации которых наиболее высока вероятность совершения работниками ТФОМС РС(Я) коррупционных правонарушений в целях получения личной выгоды.</w:t>
      </w:r>
      <w:bookmarkEnd w:id="3"/>
    </w:p>
    <w:p>
      <w:pPr>
        <w:pStyle w:val="Normal"/>
        <w:spacing w:lineRule="auto" w:line="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1"/>
        <w:spacing w:lineRule="auto" w:line="276"/>
        <w:rPr>
          <w:color w:val="000000"/>
        </w:rPr>
      </w:pPr>
      <w:bookmarkStart w:id="5" w:name="sub_200"/>
      <w:r>
        <w:rPr>
          <w:rFonts w:cs="Times New Roman" w:ascii="Times New Roman" w:hAnsi="Times New Roman"/>
          <w:color w:val="000000"/>
          <w:sz w:val="28"/>
          <w:szCs w:val="28"/>
        </w:rPr>
        <w:t>2. Порядок оценки коррупционных рисков</w:t>
      </w:r>
      <w:bookmarkEnd w:id="5"/>
    </w:p>
    <w:p>
      <w:pPr>
        <w:pStyle w:val="Normal"/>
        <w:spacing w:lineRule="auto" w:line="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color w:val="000000"/>
        </w:rPr>
      </w:pPr>
      <w:bookmarkStart w:id="6" w:name="sub_2021"/>
      <w:r>
        <w:rPr>
          <w:rFonts w:cs="Times New Roman" w:ascii="Times New Roman" w:hAnsi="Times New Roman"/>
          <w:color w:val="000000"/>
          <w:sz w:val="28"/>
          <w:szCs w:val="28"/>
        </w:rPr>
        <w:t>2.1. Оценка коррупционных рисков проводится как на стадии разработки антикоррупционной политики, так и после ее утверждения на регулярной основе Комиссией по оценке коррупционных рисков в ТФОМС РС(Я).</w:t>
      </w:r>
      <w:bookmarkEnd w:id="6"/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 основании оценки коррупционных рисков можно составить перечень коррупционно опасных функций и разработать комплекс мер по устранению или минимизации коррупционных рисков.</w:t>
      </w:r>
    </w:p>
    <w:p>
      <w:pPr>
        <w:pStyle w:val="Normal"/>
        <w:spacing w:lineRule="auto" w:line="276"/>
        <w:rPr>
          <w:color w:val="000000"/>
        </w:rPr>
      </w:pPr>
      <w:bookmarkStart w:id="7" w:name="sub_2022"/>
      <w:bookmarkEnd w:id="7"/>
      <w:r>
        <w:rPr>
          <w:rFonts w:cs="Times New Roman" w:ascii="Times New Roman" w:hAnsi="Times New Roman"/>
          <w:color w:val="000000"/>
          <w:sz w:val="28"/>
          <w:szCs w:val="28"/>
        </w:rPr>
        <w:t>2.2. Порядок проведения оценки коррупционных рисков:</w:t>
      </w:r>
    </w:p>
    <w:p>
      <w:pPr>
        <w:pStyle w:val="Normal"/>
        <w:spacing w:lineRule="auto" w:line="276"/>
        <w:rPr>
          <w:color w:val="000000"/>
        </w:rPr>
      </w:pPr>
      <w:bookmarkStart w:id="8" w:name="sub_2221"/>
      <w:bookmarkStart w:id="9" w:name="sub_20221"/>
      <w:bookmarkEnd w:id="8"/>
      <w:bookmarkEnd w:id="9"/>
      <w:r>
        <w:rPr>
          <w:rFonts w:cs="Times New Roman" w:ascii="Times New Roman" w:hAnsi="Times New Roman"/>
          <w:color w:val="000000"/>
          <w:sz w:val="28"/>
          <w:szCs w:val="28"/>
        </w:rPr>
        <w:t>2.2.1. деятельность ТФОМС РС(Я) определяется в виде отдельных процессов, в каждом из которых выделяются основные элементы (подпроцессы);</w:t>
      </w:r>
    </w:p>
    <w:p>
      <w:pPr>
        <w:pStyle w:val="Normal"/>
        <w:spacing w:lineRule="auto" w:line="276"/>
        <w:rPr>
          <w:color w:val="000000"/>
        </w:rPr>
      </w:pPr>
      <w:bookmarkStart w:id="10" w:name="sub_2222"/>
      <w:bookmarkStart w:id="11" w:name="sub_22211"/>
      <w:bookmarkEnd w:id="10"/>
      <w:bookmarkEnd w:id="11"/>
      <w:r>
        <w:rPr>
          <w:rFonts w:cs="Times New Roman" w:ascii="Times New Roman" w:hAnsi="Times New Roman"/>
          <w:color w:val="000000"/>
          <w:sz w:val="28"/>
          <w:szCs w:val="28"/>
        </w:rPr>
        <w:t>2.2.2. выделяются «критические точки» для каждого процесса и определяются те элементы, при реализации которых наиболее вероятно возникновение коррупционных правонарушений;</w:t>
      </w:r>
    </w:p>
    <w:p>
      <w:pPr>
        <w:pStyle w:val="Normal"/>
        <w:spacing w:lineRule="auto" w:line="276"/>
        <w:rPr>
          <w:color w:val="000000"/>
        </w:rPr>
      </w:pPr>
      <w:bookmarkStart w:id="12" w:name="sub_2223"/>
      <w:bookmarkStart w:id="13" w:name="sub_22221"/>
      <w:bookmarkEnd w:id="13"/>
      <w:r>
        <w:rPr>
          <w:rFonts w:cs="Times New Roman" w:ascii="Times New Roman" w:hAnsi="Times New Roman"/>
          <w:color w:val="000000"/>
          <w:sz w:val="28"/>
          <w:szCs w:val="28"/>
        </w:rPr>
        <w:t>2.2.3. для каждого процесса, реализация которого связана с коррупционным риском, составляется описание возможных коррупционных правонарушений, включающее:</w:t>
      </w:r>
      <w:bookmarkEnd w:id="12"/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характеристику выгоды либо преимущества, которое может быть получено отдельным должностным лицом ТФОМС РС(Я) при совершении коррупционного правонарушения;</w:t>
      </w:r>
    </w:p>
    <w:p>
      <w:pPr>
        <w:pStyle w:val="Normal"/>
        <w:spacing w:lineRule="auto" w:line="276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- должности в ТФОМС РС(Я), которые являются «ключевыми» для совершения коррупционного правонарушения (</w:t>
      </w:r>
      <w:hyperlink w:anchor="sub_2035">
        <w:r>
          <w:rPr>
            <w:rFonts w:ascii="Times New Roman" w:hAnsi="Times New Roman"/>
            <w:color w:val="000000"/>
            <w:sz w:val="28"/>
            <w:szCs w:val="28"/>
          </w:rPr>
          <w:t>п.3.5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>.);</w:t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вероятные формы получения выгоды, в том числе осуществления коррупционных платежей.</w:t>
      </w:r>
    </w:p>
    <w:p>
      <w:pPr>
        <w:pStyle w:val="Normal"/>
        <w:spacing w:lineRule="auto" w:line="276"/>
        <w:rPr>
          <w:color w:val="000000"/>
        </w:rPr>
      </w:pPr>
      <w:bookmarkStart w:id="14" w:name="sub_2023"/>
      <w:r>
        <w:rPr>
          <w:rFonts w:cs="Times New Roman" w:ascii="Times New Roman" w:hAnsi="Times New Roman"/>
          <w:color w:val="000000"/>
          <w:sz w:val="28"/>
          <w:szCs w:val="28"/>
        </w:rPr>
        <w:t>2.3. На основании проведенного анализа составляется карта коррупционных рисков ТФОМС РС(Я), включая свободное описание «критических точек» и возможных коррупционных правонарушений, разрабатывается комплекс мер по устранению или минимизации коррупционных рисков</w:t>
      </w:r>
      <w:bookmarkEnd w:id="14"/>
    </w:p>
    <w:p>
      <w:pPr>
        <w:pStyle w:val="Normal"/>
        <w:spacing w:lineRule="auto" w:line="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1"/>
        <w:spacing w:lineRule="auto" w:line="276"/>
        <w:rPr>
          <w:color w:val="000000"/>
        </w:rPr>
      </w:pPr>
      <w:bookmarkStart w:id="15" w:name="sub_300"/>
      <w:r>
        <w:rPr>
          <w:rFonts w:cs="Times New Roman" w:ascii="Times New Roman" w:hAnsi="Times New Roman"/>
          <w:color w:val="000000"/>
          <w:sz w:val="28"/>
          <w:szCs w:val="28"/>
        </w:rPr>
        <w:t>3. Карта коррупционных рисков</w:t>
      </w:r>
      <w:bookmarkEnd w:id="15"/>
    </w:p>
    <w:p>
      <w:pPr>
        <w:pStyle w:val="Normal"/>
        <w:spacing w:lineRule="auto" w:line="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color w:val="000000"/>
        </w:rPr>
      </w:pPr>
      <w:bookmarkStart w:id="16" w:name="sub_2031"/>
      <w:bookmarkEnd w:id="16"/>
      <w:r>
        <w:rPr>
          <w:rFonts w:cs="Times New Roman" w:ascii="Times New Roman" w:hAnsi="Times New Roman"/>
          <w:color w:val="000000"/>
          <w:sz w:val="28"/>
          <w:szCs w:val="28"/>
        </w:rPr>
        <w:t>3.1. В Карте коррупционных рисков (далее - Карта) представлены зоны повышенного коррупционного риска (коррупционно-опасные полномочия), считающиеся наиболее предрасполагающими к возникновению возможных коррупционных правонарушений.</w:t>
      </w:r>
    </w:p>
    <w:p>
      <w:pPr>
        <w:pStyle w:val="Normal"/>
        <w:spacing w:lineRule="auto" w:line="276"/>
        <w:rPr>
          <w:color w:val="000000"/>
        </w:rPr>
      </w:pPr>
      <w:bookmarkStart w:id="17" w:name="sub_2032"/>
      <w:bookmarkStart w:id="18" w:name="sub_20311"/>
      <w:bookmarkEnd w:id="17"/>
      <w:bookmarkEnd w:id="18"/>
      <w:r>
        <w:rPr>
          <w:rFonts w:cs="Times New Roman" w:ascii="Times New Roman" w:hAnsi="Times New Roman"/>
          <w:color w:val="000000"/>
          <w:sz w:val="28"/>
          <w:szCs w:val="28"/>
        </w:rPr>
        <w:t>3.2. В Карте указан перечень должностей, связанных с определенной зоной повышенного коррупционного риска (коррупционно-опасными полномочиями).</w:t>
      </w:r>
    </w:p>
    <w:p>
      <w:pPr>
        <w:pStyle w:val="Normal"/>
        <w:spacing w:lineRule="auto" w:line="276"/>
        <w:rPr>
          <w:color w:val="000000"/>
        </w:rPr>
      </w:pPr>
      <w:bookmarkStart w:id="19" w:name="sub_2033"/>
      <w:bookmarkStart w:id="20" w:name="sub_20321"/>
      <w:bookmarkEnd w:id="19"/>
      <w:bookmarkEnd w:id="20"/>
      <w:r>
        <w:rPr>
          <w:rFonts w:cs="Times New Roman" w:ascii="Times New Roman" w:hAnsi="Times New Roman"/>
          <w:color w:val="000000"/>
          <w:sz w:val="28"/>
          <w:szCs w:val="28"/>
        </w:rPr>
        <w:t>3.3. В Карте представлены функции (процессы), характеризующие выгоды или преимущества, которые могут быть получены отдельными работниками при совершении коррупционного правонарушения.</w:t>
      </w:r>
    </w:p>
    <w:p>
      <w:pPr>
        <w:pStyle w:val="Normal"/>
        <w:spacing w:lineRule="auto" w:line="276"/>
        <w:rPr>
          <w:color w:val="000000"/>
        </w:rPr>
      </w:pPr>
      <w:bookmarkStart w:id="21" w:name="sub_2034"/>
      <w:bookmarkStart w:id="22" w:name="sub_20331"/>
      <w:bookmarkEnd w:id="21"/>
      <w:bookmarkEnd w:id="22"/>
      <w:r>
        <w:rPr>
          <w:rFonts w:cs="Times New Roman" w:ascii="Times New Roman" w:hAnsi="Times New Roman"/>
          <w:color w:val="000000"/>
          <w:sz w:val="28"/>
          <w:szCs w:val="28"/>
        </w:rPr>
        <w:t>3.4. По каждой зоне повышенного коррупционного риска (коррупционно-опасных полномочий - «критические точки») предложены меры по устранению или минимизации коррупционно-опасных функций.</w:t>
      </w:r>
    </w:p>
    <w:p>
      <w:pPr>
        <w:pStyle w:val="Normal"/>
        <w:spacing w:lineRule="auto" w:line="276"/>
        <w:rPr>
          <w:color w:val="000000"/>
        </w:rPr>
      </w:pPr>
      <w:bookmarkStart w:id="23" w:name="sub_2035"/>
      <w:bookmarkStart w:id="24" w:name="sub_20341"/>
      <w:bookmarkEnd w:id="23"/>
      <w:bookmarkEnd w:id="24"/>
      <w:r>
        <w:rPr>
          <w:rFonts w:cs="Times New Roman" w:ascii="Times New Roman" w:hAnsi="Times New Roman"/>
          <w:color w:val="000000"/>
          <w:sz w:val="28"/>
          <w:szCs w:val="28"/>
        </w:rPr>
        <w:t>3.5. Перечень должностей ТФОМС РС(Я), замещение которых связано с коррупционными рисками:</w:t>
      </w:r>
    </w:p>
    <w:p>
      <w:pPr>
        <w:pStyle w:val="Normal"/>
        <w:spacing w:lineRule="auto" w:line="276"/>
        <w:rPr>
          <w:color w:val="000000"/>
        </w:rPr>
      </w:pPr>
      <w:bookmarkStart w:id="25" w:name="sub_203511"/>
      <w:bookmarkStart w:id="26" w:name="sub_20351"/>
      <w:bookmarkEnd w:id="25"/>
      <w:bookmarkEnd w:id="26"/>
      <w:r>
        <w:rPr>
          <w:rFonts w:cs="Times New Roman" w:ascii="Times New Roman" w:hAnsi="Times New Roman"/>
          <w:color w:val="000000"/>
          <w:sz w:val="28"/>
          <w:szCs w:val="28"/>
        </w:rPr>
        <w:t>1) директор;</w:t>
      </w:r>
    </w:p>
    <w:p>
      <w:pPr>
        <w:pStyle w:val="Normal"/>
        <w:spacing w:lineRule="auto" w:line="276"/>
        <w:rPr>
          <w:color w:val="000000"/>
        </w:rPr>
      </w:pPr>
      <w:bookmarkStart w:id="27" w:name="sub_20352"/>
      <w:bookmarkStart w:id="28" w:name="sub_203512"/>
      <w:bookmarkEnd w:id="27"/>
      <w:bookmarkEnd w:id="28"/>
      <w:r>
        <w:rPr>
          <w:rFonts w:cs="Times New Roman" w:ascii="Times New Roman" w:hAnsi="Times New Roman"/>
          <w:color w:val="000000"/>
          <w:sz w:val="28"/>
          <w:szCs w:val="28"/>
        </w:rPr>
        <w:t>2) заместители директора;</w:t>
      </w:r>
    </w:p>
    <w:p>
      <w:pPr>
        <w:pStyle w:val="Normal"/>
        <w:spacing w:lineRule="auto" w:line="276"/>
        <w:rPr>
          <w:color w:val="000000"/>
        </w:rPr>
      </w:pPr>
      <w:bookmarkStart w:id="29" w:name="sub_20353"/>
      <w:bookmarkStart w:id="30" w:name="sub_203521"/>
      <w:bookmarkEnd w:id="29"/>
      <w:bookmarkEnd w:id="30"/>
      <w:r>
        <w:rPr>
          <w:rFonts w:cs="Times New Roman" w:ascii="Times New Roman" w:hAnsi="Times New Roman"/>
          <w:color w:val="000000"/>
          <w:sz w:val="28"/>
          <w:szCs w:val="28"/>
        </w:rPr>
        <w:t>3) начальники структурных подразделений, директора филиалов;</w:t>
      </w:r>
    </w:p>
    <w:p>
      <w:pPr>
        <w:pStyle w:val="Normal"/>
        <w:spacing w:lineRule="auto" w:line="276"/>
        <w:rPr>
          <w:color w:val="000000"/>
        </w:rPr>
      </w:pPr>
      <w:bookmarkStart w:id="31" w:name="sub_20354"/>
      <w:bookmarkStart w:id="32" w:name="sub_203531"/>
      <w:bookmarkEnd w:id="32"/>
      <w:r>
        <w:rPr>
          <w:rFonts w:cs="Times New Roman" w:ascii="Times New Roman" w:hAnsi="Times New Roman"/>
          <w:color w:val="000000"/>
          <w:sz w:val="28"/>
          <w:szCs w:val="28"/>
        </w:rPr>
        <w:t>4) специалисты.</w:t>
      </w:r>
      <w:bookmarkEnd w:id="31"/>
    </w:p>
    <w:p>
      <w:pPr>
        <w:pStyle w:val="Normal"/>
        <w:spacing w:lineRule="auto" w:line="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1"/>
        <w:spacing w:lineRule="auto" w:line="276"/>
        <w:rPr>
          <w:color w:val="000000"/>
        </w:rPr>
      </w:pPr>
      <w:bookmarkStart w:id="33" w:name="sub_400"/>
      <w:r>
        <w:rPr>
          <w:rFonts w:cs="Times New Roman" w:ascii="Times New Roman" w:hAnsi="Times New Roman"/>
          <w:color w:val="000000"/>
          <w:sz w:val="28"/>
          <w:szCs w:val="28"/>
        </w:rPr>
        <w:t>4. Организация работы Комиссии по оценке коррупционных рисков</w:t>
      </w:r>
      <w:bookmarkEnd w:id="33"/>
    </w:p>
    <w:p>
      <w:pPr>
        <w:pStyle w:val="Normal"/>
        <w:spacing w:lineRule="auto" w:line="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Руководители структурных подразделений направляют заместителю начальника отдела по работе с персоналом Организационного управления предложения о коррупционных рисках процессов (при обнаружении риска) для включения в карту коррупционных рисков в ТФОМС РС(Я).</w:t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Предложения руководителей рассматриваются на заседании Комиссии.</w:t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 заседания Комиссии могут приглашаться руководители структурных подразделений.</w:t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Решения Комиссии принимаются открытым голосованием простым большинством голосов присутствующих на заседании членов Комиссии. При равном количестве голосов, голос Председателя Комиссии является решающим.</w:t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Секретарь Комиссии ведет протокол заседания Комиссии, оформляет решения Комиссии.</w:t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Карту коррупционных рисков утверждает директор Фонда.</w:t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Заседания Комиссии проводятся по мере необходимости.</w:t>
      </w:r>
    </w:p>
    <w:p>
      <w:pPr>
        <w:pStyle w:val="Normal"/>
        <w:spacing w:lineRule="auto" w:line="276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Карта оценки коррупционных рисков формируется, пересматривается и утверждается до 1 января каждого года (при наличии изменений).</w:t>
      </w:r>
    </w:p>
    <w:p>
      <w:pPr>
        <w:pStyle w:val="Normal"/>
        <w:rPr>
          <w:color w:val="000000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3405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9"/>
    <w:qFormat/>
    <w:rsid w:val="00b53405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9"/>
    <w:qFormat/>
    <w:rsid w:val="00b53405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Гипертекстовая ссылка"/>
    <w:basedOn w:val="DefaultParagraphFont"/>
    <w:uiPriority w:val="99"/>
    <w:qFormat/>
    <w:rsid w:val="00b53405"/>
    <w:rPr>
      <w:rFonts w:cs="Times New Roman"/>
      <w:b w:val="false"/>
      <w:color w:val="106BBE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LibreOffice/7.3.7.2$Linux_X86_64 LibreOffice_project/30$Build-2</Application>
  <AppVersion>15.0000</AppVersion>
  <Pages>3</Pages>
  <Words>498</Words>
  <Characters>3908</Characters>
  <CharactersWithSpaces>4370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2023-07-26T06:17:00Z</dcterms:created>
  <dc:creator>hai</dc:creator>
  <dc:description/>
  <dc:language>ru-RU</dc:language>
  <cp:lastModifiedBy/>
  <dcterms:modified xsi:type="dcterms:W3CDTF">2023-10-06T10:50:03Z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